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87" w:rsidRPr="007D2273" w:rsidRDefault="00E0638C" w:rsidP="004E4BA6">
      <w:pPr>
        <w:pStyle w:val="IntenseQuote"/>
        <w:pBdr>
          <w:top w:val="none" w:sz="0" w:space="0" w:color="auto"/>
          <w:bottom w:val="none" w:sz="0" w:space="0" w:color="auto"/>
        </w:pBdr>
        <w:spacing w:line="240" w:lineRule="auto"/>
        <w:ind w:left="0" w:right="-46"/>
        <w:rPr>
          <w:rFonts w:ascii="Verdana" w:hAnsi="Verdana"/>
          <w:i w:val="0"/>
          <w:color w:val="auto"/>
        </w:rPr>
      </w:pPr>
      <w:bookmarkStart w:id="0" w:name="_GoBack"/>
      <w:bookmarkEnd w:id="0"/>
      <w:r w:rsidRPr="007D2273">
        <w:rPr>
          <w:rFonts w:ascii="Verdana" w:hAnsi="Verdana"/>
          <w:b/>
          <w:i w:val="0"/>
          <w:color w:val="auto"/>
        </w:rPr>
        <w:t xml:space="preserve">STRATEGIC REVIEW </w:t>
      </w:r>
      <w:r w:rsidR="004E4BA6">
        <w:rPr>
          <w:rFonts w:ascii="Verdana" w:hAnsi="Verdana"/>
          <w:b/>
          <w:i w:val="0"/>
          <w:color w:val="auto"/>
        </w:rPr>
        <w:t>ON THE ACHIEVEMENT OF SUSTAINABLE DEVELOPMENT GOAL 2 (FOOD SECURITY, NUTRITION AND SUSTAINABLE AGRICULTURE) IN JORDAN</w:t>
      </w:r>
    </w:p>
    <w:p w:rsidR="00F04587" w:rsidRPr="007D2273" w:rsidRDefault="00F04587" w:rsidP="007D2273">
      <w:pPr>
        <w:spacing w:line="240" w:lineRule="auto"/>
        <w:jc w:val="both"/>
        <w:rPr>
          <w:rFonts w:ascii="Verdana" w:hAnsi="Verdana"/>
          <w:b/>
          <w:sz w:val="20"/>
          <w:szCs w:val="20"/>
        </w:rPr>
      </w:pPr>
      <w:r w:rsidRPr="007D2273">
        <w:rPr>
          <w:rFonts w:ascii="Verdana" w:hAnsi="Verdana"/>
          <w:b/>
          <w:sz w:val="20"/>
          <w:szCs w:val="20"/>
        </w:rPr>
        <w:t>Background</w:t>
      </w:r>
    </w:p>
    <w:p w:rsidR="004E4BA6" w:rsidRDefault="00F04587" w:rsidP="004E4BA6">
      <w:pPr>
        <w:spacing w:line="240" w:lineRule="auto"/>
        <w:jc w:val="both"/>
        <w:rPr>
          <w:rFonts w:ascii="Verdana" w:hAnsi="Verdana"/>
          <w:sz w:val="20"/>
          <w:szCs w:val="20"/>
          <w:lang w:eastAsia="ja-JP"/>
        </w:rPr>
      </w:pPr>
      <w:r w:rsidRPr="007D2273">
        <w:rPr>
          <w:rFonts w:ascii="Verdana" w:hAnsi="Verdana"/>
          <w:sz w:val="20"/>
          <w:szCs w:val="20"/>
          <w:lang w:eastAsia="ja-JP"/>
        </w:rPr>
        <w:t>The Strategic Review</w:t>
      </w:r>
      <w:r w:rsidR="00E0638C" w:rsidRPr="007D2273">
        <w:rPr>
          <w:rFonts w:ascii="Verdana" w:hAnsi="Verdana"/>
          <w:sz w:val="20"/>
          <w:szCs w:val="20"/>
          <w:lang w:eastAsia="ja-JP"/>
        </w:rPr>
        <w:t xml:space="preserve">is </w:t>
      </w:r>
      <w:r w:rsidR="004E4BA6">
        <w:rPr>
          <w:rFonts w:ascii="Verdana" w:hAnsi="Verdana"/>
          <w:sz w:val="20"/>
          <w:szCs w:val="20"/>
          <w:lang w:eastAsia="ja-JP"/>
        </w:rPr>
        <w:t xml:space="preserve">proposed as </w:t>
      </w:r>
      <w:r w:rsidR="00E0638C" w:rsidRPr="007D2273">
        <w:rPr>
          <w:rFonts w:ascii="Verdana" w:hAnsi="Verdana"/>
          <w:sz w:val="20"/>
          <w:szCs w:val="20"/>
          <w:lang w:eastAsia="ja-JP"/>
        </w:rPr>
        <w:t xml:space="preserve">an analytical and consultative process led by His Royal Highness Prince El Hassan Bin Talal with support from the Higher Council for Science and Technology (HCST) and the National Centre for Research and Development (NCRD). </w:t>
      </w:r>
    </w:p>
    <w:p w:rsidR="00E0638C" w:rsidRDefault="005A2F17" w:rsidP="0003221A">
      <w:pPr>
        <w:spacing w:line="240" w:lineRule="auto"/>
        <w:jc w:val="both"/>
        <w:rPr>
          <w:rFonts w:ascii="Verdana" w:hAnsi="Verdana"/>
          <w:sz w:val="20"/>
          <w:szCs w:val="20"/>
          <w:lang w:eastAsia="ja-JP"/>
        </w:rPr>
      </w:pPr>
      <w:r>
        <w:rPr>
          <w:rFonts w:ascii="Verdana" w:hAnsi="Verdana"/>
          <w:sz w:val="20"/>
          <w:szCs w:val="20"/>
          <w:lang w:eastAsia="ja-JP"/>
        </w:rPr>
        <w:t>Based on the</w:t>
      </w:r>
      <w:r w:rsidR="004E4BA6">
        <w:rPr>
          <w:rFonts w:ascii="Verdana" w:hAnsi="Verdana"/>
          <w:sz w:val="20"/>
          <w:szCs w:val="20"/>
          <w:lang w:eastAsia="ja-JP"/>
        </w:rPr>
        <w:t xml:space="preserve"> National Voluntary Review of Jordan on the Sustainable Development Agenda 2030</w:t>
      </w:r>
      <w:r>
        <w:rPr>
          <w:rFonts w:ascii="Verdana" w:hAnsi="Verdana"/>
          <w:sz w:val="20"/>
          <w:szCs w:val="20"/>
          <w:lang w:eastAsia="ja-JP"/>
        </w:rPr>
        <w:t>, the Review will delve into priority actions to achieve Sustainable Development Goal 2 (SDG 2)</w:t>
      </w:r>
      <w:r w:rsidR="004E4BA6">
        <w:rPr>
          <w:rFonts w:ascii="Verdana" w:hAnsi="Verdana"/>
          <w:sz w:val="20"/>
          <w:szCs w:val="20"/>
          <w:lang w:eastAsia="ja-JP"/>
        </w:rPr>
        <w:t xml:space="preserve">.The </w:t>
      </w:r>
      <w:r>
        <w:rPr>
          <w:rFonts w:ascii="Verdana" w:hAnsi="Verdana"/>
          <w:sz w:val="20"/>
          <w:szCs w:val="20"/>
          <w:lang w:eastAsia="ja-JP"/>
        </w:rPr>
        <w:t xml:space="preserve">Review will </w:t>
      </w:r>
      <w:r w:rsidR="0003221A">
        <w:rPr>
          <w:rFonts w:ascii="Verdana" w:hAnsi="Verdana"/>
          <w:sz w:val="20"/>
          <w:szCs w:val="20"/>
          <w:lang w:eastAsia="ja-JP"/>
        </w:rPr>
        <w:t xml:space="preserve">contribute to national development plans (Jordan’s 2025 vision) and humanitarian plans (refugee response plans). It will </w:t>
      </w:r>
      <w:r>
        <w:rPr>
          <w:rFonts w:ascii="Verdana" w:hAnsi="Verdana"/>
          <w:sz w:val="20"/>
          <w:szCs w:val="20"/>
          <w:lang w:eastAsia="ja-JP"/>
        </w:rPr>
        <w:t xml:space="preserve">inform the efforts of the </w:t>
      </w:r>
      <w:r w:rsidR="004E4BA6">
        <w:rPr>
          <w:rFonts w:ascii="Verdana" w:hAnsi="Verdana"/>
          <w:sz w:val="20"/>
          <w:szCs w:val="20"/>
          <w:lang w:eastAsia="ja-JP"/>
        </w:rPr>
        <w:t>Government of Jordan</w:t>
      </w:r>
      <w:r>
        <w:rPr>
          <w:rFonts w:ascii="Verdana" w:hAnsi="Verdana"/>
          <w:sz w:val="20"/>
          <w:szCs w:val="20"/>
          <w:lang w:eastAsia="ja-JP"/>
        </w:rPr>
        <w:t xml:space="preserve">, which has the primary responsibility for the achievement of the SDGs, </w:t>
      </w:r>
      <w:r w:rsidR="0003221A">
        <w:rPr>
          <w:rFonts w:ascii="Verdana" w:hAnsi="Verdana"/>
          <w:sz w:val="20"/>
          <w:szCs w:val="20"/>
          <w:lang w:eastAsia="ja-JP"/>
        </w:rPr>
        <w:t xml:space="preserve">by laying out concrete actions for the Government and partners to accelerate progress toward SDG 2. </w:t>
      </w:r>
    </w:p>
    <w:p w:rsidR="007D2273" w:rsidRPr="007D2273" w:rsidRDefault="007D2273" w:rsidP="007D2273">
      <w:pPr>
        <w:spacing w:line="240" w:lineRule="auto"/>
        <w:jc w:val="both"/>
        <w:rPr>
          <w:rFonts w:ascii="Verdana" w:hAnsi="Verdana"/>
          <w:b/>
          <w:sz w:val="20"/>
          <w:szCs w:val="20"/>
        </w:rPr>
      </w:pPr>
      <w:r>
        <w:rPr>
          <w:rFonts w:ascii="Verdana" w:hAnsi="Verdana"/>
          <w:b/>
          <w:sz w:val="20"/>
          <w:szCs w:val="20"/>
        </w:rPr>
        <w:t>Focus and Objectives</w:t>
      </w:r>
    </w:p>
    <w:p w:rsidR="00551295" w:rsidRDefault="00E0638C" w:rsidP="00551295">
      <w:pPr>
        <w:spacing w:line="240" w:lineRule="auto"/>
        <w:jc w:val="both"/>
        <w:rPr>
          <w:rFonts w:ascii="Verdana" w:hAnsi="Verdana"/>
          <w:sz w:val="20"/>
          <w:szCs w:val="20"/>
          <w:lang w:eastAsia="ja-JP"/>
        </w:rPr>
      </w:pPr>
      <w:r w:rsidRPr="007D2273">
        <w:rPr>
          <w:rFonts w:ascii="Verdana" w:hAnsi="Verdana"/>
          <w:sz w:val="20"/>
          <w:szCs w:val="20"/>
          <w:lang w:eastAsia="ja-JP"/>
        </w:rPr>
        <w:t xml:space="preserve">In Jordan, SDG 2is key to the achievement of other SDGs </w:t>
      </w:r>
      <w:r w:rsidR="00102103">
        <w:rPr>
          <w:rFonts w:ascii="Verdana" w:hAnsi="Verdana"/>
          <w:sz w:val="20"/>
          <w:szCs w:val="20"/>
          <w:lang w:eastAsia="ja-JP"/>
        </w:rPr>
        <w:t>–</w:t>
      </w:r>
      <w:r w:rsidRPr="007D2273">
        <w:rPr>
          <w:rFonts w:ascii="Verdana" w:hAnsi="Verdana"/>
          <w:sz w:val="20"/>
          <w:szCs w:val="20"/>
          <w:lang w:eastAsia="ja-JP"/>
        </w:rPr>
        <w:t>namely</w:t>
      </w:r>
      <w:r w:rsidR="00102103">
        <w:rPr>
          <w:rFonts w:ascii="Verdana" w:hAnsi="Verdana"/>
          <w:sz w:val="20"/>
          <w:szCs w:val="20"/>
          <w:lang w:eastAsia="ja-JP"/>
        </w:rPr>
        <w:t xml:space="preserve"> SDG 1 on poverty reduction;</w:t>
      </w:r>
      <w:r w:rsidRPr="007D2273">
        <w:rPr>
          <w:rFonts w:ascii="Verdana" w:hAnsi="Verdana"/>
          <w:sz w:val="20"/>
          <w:szCs w:val="20"/>
          <w:lang w:eastAsia="ja-JP"/>
        </w:rPr>
        <w:t xml:space="preserve"> SDG 6 on clean water and sanitation; SDG 7 on affordable and clean energy; SDG 11 on sustainable cities and communities; </w:t>
      </w:r>
      <w:r w:rsidR="0003221A">
        <w:rPr>
          <w:rFonts w:ascii="Verdana" w:hAnsi="Verdana"/>
          <w:sz w:val="20"/>
          <w:szCs w:val="20"/>
          <w:lang w:eastAsia="ja-JP"/>
        </w:rPr>
        <w:t xml:space="preserve">and </w:t>
      </w:r>
      <w:r w:rsidRPr="007D2273">
        <w:rPr>
          <w:rFonts w:ascii="Verdana" w:hAnsi="Verdana"/>
          <w:sz w:val="20"/>
          <w:szCs w:val="20"/>
          <w:lang w:eastAsia="ja-JP"/>
        </w:rPr>
        <w:t>SDG 16 on peace, justice and strong institut</w:t>
      </w:r>
      <w:r w:rsidR="0003221A">
        <w:rPr>
          <w:rFonts w:ascii="Verdana" w:hAnsi="Verdana"/>
          <w:sz w:val="20"/>
          <w:szCs w:val="20"/>
          <w:lang w:eastAsia="ja-JP"/>
        </w:rPr>
        <w:t xml:space="preserve">ions </w:t>
      </w:r>
      <w:r w:rsidRPr="007D2273">
        <w:rPr>
          <w:rFonts w:ascii="Verdana" w:hAnsi="Verdana"/>
          <w:sz w:val="20"/>
          <w:szCs w:val="20"/>
          <w:lang w:eastAsia="ja-JP"/>
        </w:rPr>
        <w:t>similarly</w:t>
      </w:r>
      <w:r w:rsidR="007D2273" w:rsidRPr="007D2273">
        <w:rPr>
          <w:rFonts w:ascii="Verdana" w:hAnsi="Verdana"/>
          <w:sz w:val="20"/>
          <w:szCs w:val="20"/>
          <w:lang w:eastAsia="ja-JP"/>
        </w:rPr>
        <w:t>,</w:t>
      </w:r>
      <w:r w:rsidRPr="007D2273">
        <w:rPr>
          <w:rFonts w:ascii="Verdana" w:hAnsi="Verdana"/>
          <w:sz w:val="20"/>
          <w:szCs w:val="20"/>
          <w:lang w:eastAsia="ja-JP"/>
        </w:rPr>
        <w:t xml:space="preserve"> progress on these SDGs contributes significantly to the achievement of SDG 2. The Strategic Review </w:t>
      </w:r>
      <w:r w:rsidR="004E4BA6">
        <w:rPr>
          <w:rFonts w:ascii="Verdana" w:hAnsi="Verdana"/>
          <w:sz w:val="20"/>
          <w:szCs w:val="20"/>
          <w:lang w:eastAsia="ja-JP"/>
        </w:rPr>
        <w:t>would provide an opportunity therefore to focus</w:t>
      </w:r>
      <w:r w:rsidR="007D2273" w:rsidRPr="007D2273">
        <w:rPr>
          <w:rFonts w:ascii="Verdana" w:hAnsi="Verdana"/>
          <w:sz w:val="20"/>
          <w:szCs w:val="20"/>
          <w:lang w:eastAsia="ja-JP"/>
        </w:rPr>
        <w:t xml:space="preserve"> on the linkages between SDG 2 and the other SDGs, taking into consideration regional dynamics, peace and security</w:t>
      </w:r>
      <w:r w:rsidR="0003221A">
        <w:rPr>
          <w:rFonts w:ascii="Verdana" w:hAnsi="Verdana"/>
          <w:sz w:val="20"/>
          <w:szCs w:val="20"/>
          <w:lang w:eastAsia="ja-JP"/>
        </w:rPr>
        <w:t xml:space="preserve">. </w:t>
      </w:r>
    </w:p>
    <w:p w:rsidR="00360598" w:rsidRDefault="00551295" w:rsidP="00551295">
      <w:pPr>
        <w:spacing w:line="240" w:lineRule="auto"/>
        <w:jc w:val="both"/>
        <w:rPr>
          <w:rFonts w:ascii="Verdana" w:hAnsi="Verdana"/>
          <w:sz w:val="20"/>
          <w:szCs w:val="20"/>
          <w:lang w:eastAsia="ja-JP"/>
        </w:rPr>
      </w:pPr>
      <w:r>
        <w:rPr>
          <w:rFonts w:ascii="Verdana" w:hAnsi="Verdana"/>
          <w:sz w:val="20"/>
          <w:szCs w:val="20"/>
          <w:lang w:eastAsia="ja-JP"/>
        </w:rPr>
        <w:t>Recognizing the centrality of partnerships for the SDGs, t</w:t>
      </w:r>
      <w:r w:rsidR="0003221A">
        <w:rPr>
          <w:rFonts w:ascii="Verdana" w:hAnsi="Verdana"/>
          <w:sz w:val="20"/>
          <w:szCs w:val="20"/>
          <w:lang w:eastAsia="ja-JP"/>
        </w:rPr>
        <w:t xml:space="preserve">he Review will also explore opportunities provided by SDG 17 on partnerships, </w:t>
      </w:r>
      <w:r>
        <w:rPr>
          <w:rFonts w:ascii="Verdana" w:hAnsi="Verdana"/>
          <w:sz w:val="20"/>
          <w:szCs w:val="20"/>
          <w:lang w:eastAsia="ja-JP"/>
        </w:rPr>
        <w:t>namely the role of the private sector,</w:t>
      </w:r>
      <w:r w:rsidR="007D2273" w:rsidRPr="007D2273">
        <w:rPr>
          <w:rFonts w:ascii="Verdana" w:hAnsi="Verdana"/>
          <w:sz w:val="20"/>
          <w:szCs w:val="20"/>
          <w:lang w:eastAsia="ja-JP"/>
        </w:rPr>
        <w:t xml:space="preserve"> public private partnershi</w:t>
      </w:r>
      <w:r>
        <w:rPr>
          <w:rFonts w:ascii="Verdana" w:hAnsi="Verdana"/>
          <w:sz w:val="20"/>
          <w:szCs w:val="20"/>
          <w:lang w:eastAsia="ja-JP"/>
        </w:rPr>
        <w:t xml:space="preserve">ps, and the diversification of financing for development. </w:t>
      </w:r>
    </w:p>
    <w:p w:rsidR="007D2273" w:rsidRPr="007D2273" w:rsidRDefault="00102103" w:rsidP="007D2273">
      <w:pPr>
        <w:spacing w:after="0" w:line="240" w:lineRule="auto"/>
        <w:jc w:val="both"/>
        <w:rPr>
          <w:rFonts w:ascii="Verdana" w:hAnsi="Verdana"/>
          <w:sz w:val="20"/>
          <w:szCs w:val="20"/>
        </w:rPr>
      </w:pPr>
      <w:r>
        <w:rPr>
          <w:rFonts w:ascii="Verdana" w:hAnsi="Verdana"/>
          <w:sz w:val="20"/>
          <w:szCs w:val="20"/>
        </w:rPr>
        <w:t>The</w:t>
      </w:r>
      <w:r w:rsidR="00551295">
        <w:rPr>
          <w:rFonts w:ascii="Verdana" w:hAnsi="Verdana"/>
          <w:sz w:val="20"/>
          <w:szCs w:val="20"/>
        </w:rPr>
        <w:t xml:space="preserve">specific </w:t>
      </w:r>
      <w:r w:rsidR="007D2273" w:rsidRPr="007D2273">
        <w:rPr>
          <w:rFonts w:ascii="Verdana" w:hAnsi="Verdana"/>
          <w:sz w:val="20"/>
          <w:szCs w:val="20"/>
        </w:rPr>
        <w:t xml:space="preserve">objectives of the Strategic Review are: </w:t>
      </w:r>
    </w:p>
    <w:p w:rsidR="007D2273" w:rsidRPr="007D2273" w:rsidRDefault="007D2273" w:rsidP="00551295">
      <w:pPr>
        <w:pStyle w:val="ListParagraph"/>
        <w:numPr>
          <w:ilvl w:val="1"/>
          <w:numId w:val="3"/>
        </w:numPr>
        <w:spacing w:beforeLines="120" w:after="0" w:line="240" w:lineRule="auto"/>
        <w:ind w:left="720"/>
        <w:jc w:val="both"/>
        <w:rPr>
          <w:rFonts w:ascii="Verdana" w:hAnsi="Verdana"/>
          <w:sz w:val="20"/>
          <w:szCs w:val="20"/>
        </w:rPr>
      </w:pPr>
      <w:r w:rsidRPr="007D2273">
        <w:rPr>
          <w:rFonts w:ascii="Verdana" w:hAnsi="Verdana"/>
          <w:sz w:val="20"/>
          <w:szCs w:val="20"/>
        </w:rPr>
        <w:t>To review the food security and nutrition situation</w:t>
      </w:r>
      <w:r w:rsidR="004E4BA6">
        <w:rPr>
          <w:rFonts w:ascii="Verdana" w:hAnsi="Verdana"/>
          <w:sz w:val="20"/>
          <w:szCs w:val="20"/>
        </w:rPr>
        <w:t>, including sustainable agriculture,</w:t>
      </w:r>
      <w:r w:rsidRPr="007D2273">
        <w:rPr>
          <w:rFonts w:ascii="Verdana" w:hAnsi="Verdana"/>
          <w:sz w:val="20"/>
          <w:szCs w:val="20"/>
        </w:rPr>
        <w:t xml:space="preserve"> for all people livin</w:t>
      </w:r>
      <w:r w:rsidR="00102103">
        <w:rPr>
          <w:rFonts w:ascii="Verdana" w:hAnsi="Verdana"/>
          <w:sz w:val="20"/>
          <w:szCs w:val="20"/>
        </w:rPr>
        <w:t xml:space="preserve">g in Jordan, including refugees, and explore the interlinkages between </w:t>
      </w:r>
      <w:r w:rsidR="00551295">
        <w:rPr>
          <w:rFonts w:ascii="Verdana" w:hAnsi="Verdana"/>
          <w:sz w:val="20"/>
          <w:szCs w:val="20"/>
        </w:rPr>
        <w:t xml:space="preserve">SDG 2 </w:t>
      </w:r>
      <w:r w:rsidR="00102103">
        <w:rPr>
          <w:rFonts w:ascii="Verdana" w:hAnsi="Verdana"/>
          <w:sz w:val="20"/>
          <w:szCs w:val="20"/>
        </w:rPr>
        <w:t>and regional dynamics, peace processes, the refugee crisis, water and energy issues, poverty reduction, urbanization and human dignity</w:t>
      </w:r>
      <w:r w:rsidR="00551295">
        <w:rPr>
          <w:rFonts w:ascii="Verdana" w:hAnsi="Verdana"/>
          <w:sz w:val="20"/>
          <w:szCs w:val="20"/>
        </w:rPr>
        <w:t>;</w:t>
      </w:r>
    </w:p>
    <w:p w:rsidR="007D2273" w:rsidRPr="007D2273" w:rsidRDefault="007D2273" w:rsidP="007D2273">
      <w:pPr>
        <w:pStyle w:val="ListParagraph"/>
        <w:numPr>
          <w:ilvl w:val="1"/>
          <w:numId w:val="3"/>
        </w:numPr>
        <w:spacing w:beforeLines="120" w:after="0" w:line="240" w:lineRule="auto"/>
        <w:ind w:left="720"/>
        <w:jc w:val="both"/>
        <w:rPr>
          <w:rFonts w:ascii="Verdana" w:hAnsi="Verdana"/>
          <w:sz w:val="20"/>
          <w:szCs w:val="20"/>
        </w:rPr>
      </w:pPr>
      <w:r w:rsidRPr="007D2273">
        <w:rPr>
          <w:rFonts w:ascii="Verdana" w:hAnsi="Verdana"/>
          <w:sz w:val="20"/>
          <w:szCs w:val="20"/>
        </w:rPr>
        <w:t xml:space="preserve">To determine the progress that policies and programmes aimed at improving food security and nutrition have made for women, men, girls and boys; </w:t>
      </w:r>
    </w:p>
    <w:p w:rsidR="007D2273" w:rsidRPr="007D2273" w:rsidRDefault="007D2273" w:rsidP="007D2273">
      <w:pPr>
        <w:pStyle w:val="ListParagraph"/>
        <w:numPr>
          <w:ilvl w:val="1"/>
          <w:numId w:val="3"/>
        </w:numPr>
        <w:spacing w:beforeLines="120" w:after="0" w:line="240" w:lineRule="auto"/>
        <w:ind w:left="720"/>
        <w:jc w:val="both"/>
        <w:rPr>
          <w:rFonts w:ascii="Verdana" w:hAnsi="Verdana"/>
          <w:sz w:val="20"/>
          <w:szCs w:val="20"/>
        </w:rPr>
      </w:pPr>
      <w:r w:rsidRPr="007D2273">
        <w:rPr>
          <w:rFonts w:ascii="Verdana" w:hAnsi="Verdana"/>
          <w:sz w:val="20"/>
          <w:szCs w:val="20"/>
        </w:rPr>
        <w:t>To identify gaps in the response, with focus on programmatic gaps, institutional capacity and financial resources;</w:t>
      </w:r>
    </w:p>
    <w:p w:rsidR="007D2273" w:rsidRPr="007D2273" w:rsidRDefault="007D2273" w:rsidP="007D2273">
      <w:pPr>
        <w:pStyle w:val="ListParagraph"/>
        <w:numPr>
          <w:ilvl w:val="1"/>
          <w:numId w:val="3"/>
        </w:numPr>
        <w:spacing w:beforeLines="120" w:after="0" w:line="240" w:lineRule="auto"/>
        <w:ind w:left="720"/>
        <w:jc w:val="both"/>
        <w:rPr>
          <w:rFonts w:ascii="Verdana" w:hAnsi="Verdana"/>
          <w:sz w:val="20"/>
          <w:szCs w:val="20"/>
        </w:rPr>
      </w:pPr>
      <w:r w:rsidRPr="007D2273">
        <w:rPr>
          <w:rFonts w:ascii="Verdana" w:hAnsi="Verdana"/>
          <w:sz w:val="20"/>
          <w:szCs w:val="20"/>
        </w:rPr>
        <w:t>To discuss and prioritize actions that will be required to meet response gaps and accelerate progress toward zero hunger, and provide an overview of how these actions may be implemented; and</w:t>
      </w:r>
    </w:p>
    <w:p w:rsidR="007D2273" w:rsidRPr="007D2273" w:rsidRDefault="007D2273" w:rsidP="00102103">
      <w:pPr>
        <w:pStyle w:val="ListParagraph"/>
        <w:numPr>
          <w:ilvl w:val="1"/>
          <w:numId w:val="3"/>
        </w:numPr>
        <w:spacing w:line="240" w:lineRule="auto"/>
        <w:ind w:left="720"/>
        <w:jc w:val="both"/>
        <w:rPr>
          <w:rFonts w:ascii="Verdana" w:hAnsi="Verdana"/>
          <w:sz w:val="20"/>
          <w:szCs w:val="20"/>
        </w:rPr>
      </w:pPr>
      <w:r w:rsidRPr="007D2273">
        <w:rPr>
          <w:rFonts w:ascii="Verdana" w:hAnsi="Verdana"/>
          <w:sz w:val="20"/>
          <w:szCs w:val="20"/>
        </w:rPr>
        <w:t xml:space="preserve">To identify </w:t>
      </w:r>
      <w:r w:rsidR="00102103">
        <w:rPr>
          <w:rFonts w:ascii="Verdana" w:hAnsi="Verdana"/>
          <w:sz w:val="20"/>
          <w:szCs w:val="20"/>
        </w:rPr>
        <w:t xml:space="preserve">partnerships and </w:t>
      </w:r>
      <w:r w:rsidRPr="007D2273">
        <w:rPr>
          <w:rFonts w:ascii="Verdana" w:hAnsi="Verdana"/>
          <w:sz w:val="20"/>
          <w:szCs w:val="20"/>
        </w:rPr>
        <w:t xml:space="preserve">opportunities for the contribution of all stakeholders, including </w:t>
      </w:r>
      <w:r w:rsidR="00102103">
        <w:rPr>
          <w:rFonts w:ascii="Verdana" w:hAnsi="Verdana"/>
          <w:sz w:val="20"/>
          <w:szCs w:val="20"/>
        </w:rPr>
        <w:t xml:space="preserve">the private sector and UN agencies. </w:t>
      </w:r>
    </w:p>
    <w:p w:rsidR="00F04587" w:rsidRPr="007D2273" w:rsidRDefault="00F04587" w:rsidP="00DD08E6">
      <w:pPr>
        <w:spacing w:line="240" w:lineRule="auto"/>
        <w:jc w:val="both"/>
        <w:rPr>
          <w:rFonts w:ascii="Verdana" w:hAnsi="Verdana"/>
          <w:b/>
          <w:sz w:val="20"/>
          <w:szCs w:val="20"/>
        </w:rPr>
      </w:pPr>
      <w:r w:rsidRPr="007D2273">
        <w:rPr>
          <w:rFonts w:ascii="Verdana" w:hAnsi="Verdana"/>
          <w:b/>
          <w:sz w:val="20"/>
          <w:szCs w:val="20"/>
        </w:rPr>
        <w:t>Principles</w:t>
      </w:r>
    </w:p>
    <w:p w:rsidR="00F04587" w:rsidRPr="007D2273" w:rsidRDefault="00F04587" w:rsidP="004E4BA6">
      <w:pPr>
        <w:spacing w:after="0" w:line="240" w:lineRule="auto"/>
        <w:jc w:val="both"/>
        <w:rPr>
          <w:rFonts w:ascii="Verdana" w:hAnsi="Verdana"/>
          <w:sz w:val="20"/>
          <w:szCs w:val="20"/>
        </w:rPr>
      </w:pPr>
      <w:r w:rsidRPr="007D2273">
        <w:rPr>
          <w:rFonts w:ascii="Verdana" w:hAnsi="Verdana"/>
          <w:sz w:val="20"/>
          <w:szCs w:val="20"/>
        </w:rPr>
        <w:t xml:space="preserve">The review </w:t>
      </w:r>
      <w:r w:rsidR="004E4BA6">
        <w:rPr>
          <w:rFonts w:ascii="Verdana" w:hAnsi="Verdana"/>
          <w:sz w:val="20"/>
          <w:szCs w:val="20"/>
        </w:rPr>
        <w:t>would</w:t>
      </w:r>
      <w:r w:rsidRPr="007D2273">
        <w:rPr>
          <w:rFonts w:ascii="Verdana" w:hAnsi="Verdana"/>
          <w:sz w:val="20"/>
          <w:szCs w:val="20"/>
        </w:rPr>
        <w:t xml:space="preserve"> be undertaken</w:t>
      </w:r>
      <w:r w:rsidR="004E4BA6">
        <w:rPr>
          <w:rFonts w:ascii="Verdana" w:hAnsi="Verdana"/>
          <w:sz w:val="20"/>
          <w:szCs w:val="20"/>
        </w:rPr>
        <w:t>,</w:t>
      </w:r>
      <w:r w:rsidRPr="007D2273">
        <w:rPr>
          <w:rFonts w:ascii="Verdana" w:hAnsi="Verdana"/>
          <w:sz w:val="20"/>
          <w:szCs w:val="20"/>
        </w:rPr>
        <w:t xml:space="preserve"> taking the following principles into account:</w:t>
      </w:r>
    </w:p>
    <w:p w:rsidR="00F04587" w:rsidRPr="007D2273" w:rsidRDefault="00F04587" w:rsidP="004E4BA6">
      <w:pPr>
        <w:pStyle w:val="Default"/>
        <w:widowControl/>
        <w:numPr>
          <w:ilvl w:val="0"/>
          <w:numId w:val="5"/>
        </w:numPr>
        <w:spacing w:after="58"/>
        <w:jc w:val="both"/>
        <w:rPr>
          <w:rFonts w:ascii="Verdana" w:hAnsi="Verdana"/>
          <w:color w:val="auto"/>
          <w:sz w:val="20"/>
          <w:szCs w:val="20"/>
        </w:rPr>
      </w:pPr>
      <w:r w:rsidRPr="007D2273">
        <w:rPr>
          <w:rFonts w:ascii="Verdana" w:hAnsi="Verdana"/>
          <w:color w:val="auto"/>
          <w:sz w:val="20"/>
          <w:szCs w:val="20"/>
        </w:rPr>
        <w:t xml:space="preserve">The process </w:t>
      </w:r>
      <w:r w:rsidR="004E4BA6">
        <w:rPr>
          <w:rFonts w:ascii="Verdana" w:hAnsi="Verdana"/>
          <w:color w:val="auto"/>
          <w:sz w:val="20"/>
          <w:szCs w:val="20"/>
        </w:rPr>
        <w:t>would be</w:t>
      </w:r>
      <w:r w:rsidRPr="007D2273">
        <w:rPr>
          <w:rFonts w:ascii="Verdana" w:hAnsi="Verdana"/>
          <w:color w:val="auto"/>
          <w:sz w:val="20"/>
          <w:szCs w:val="20"/>
        </w:rPr>
        <w:t xml:space="preserve"> inclusive, consultative and should reach out to all relevant stakeholders, including government institutions, national private sector, </w:t>
      </w:r>
      <w:r w:rsidRPr="007D2273">
        <w:rPr>
          <w:rFonts w:ascii="Verdana" w:hAnsi="Verdana"/>
          <w:color w:val="auto"/>
          <w:sz w:val="20"/>
          <w:szCs w:val="20"/>
        </w:rPr>
        <w:lastRenderedPageBreak/>
        <w:t>academia, non-governmental organizations, international organizations including international financial institutions and donors;</w:t>
      </w:r>
    </w:p>
    <w:p w:rsidR="00F04587" w:rsidRPr="007D2273" w:rsidRDefault="00F04587" w:rsidP="004E4BA6">
      <w:pPr>
        <w:pStyle w:val="Default"/>
        <w:widowControl/>
        <w:numPr>
          <w:ilvl w:val="0"/>
          <w:numId w:val="5"/>
        </w:numPr>
        <w:spacing w:after="58"/>
        <w:jc w:val="both"/>
        <w:rPr>
          <w:rFonts w:ascii="Verdana" w:hAnsi="Verdana"/>
          <w:color w:val="auto"/>
          <w:sz w:val="20"/>
          <w:szCs w:val="20"/>
        </w:rPr>
      </w:pPr>
      <w:r w:rsidRPr="007D2273">
        <w:rPr>
          <w:rFonts w:ascii="Verdana" w:hAnsi="Verdana"/>
          <w:color w:val="auto"/>
          <w:sz w:val="20"/>
          <w:szCs w:val="20"/>
        </w:rPr>
        <w:t xml:space="preserve">The analysis </w:t>
      </w:r>
      <w:r w:rsidR="004E4BA6">
        <w:rPr>
          <w:rFonts w:ascii="Verdana" w:hAnsi="Verdana"/>
          <w:color w:val="auto"/>
          <w:sz w:val="20"/>
          <w:szCs w:val="20"/>
        </w:rPr>
        <w:t>would be</w:t>
      </w:r>
      <w:r w:rsidRPr="007D2273">
        <w:rPr>
          <w:rFonts w:ascii="Verdana" w:hAnsi="Verdana"/>
          <w:color w:val="auto"/>
          <w:sz w:val="20"/>
          <w:szCs w:val="20"/>
        </w:rPr>
        <w:t xml:space="preserve"> comprehensive, holistic, gender- and age-sensitive and focused on all pillars of SDG2 targets for ending hunger;</w:t>
      </w:r>
    </w:p>
    <w:p w:rsidR="00F04587" w:rsidRPr="007D2273" w:rsidRDefault="00F04587" w:rsidP="004E4BA6">
      <w:pPr>
        <w:pStyle w:val="Default"/>
        <w:widowControl/>
        <w:numPr>
          <w:ilvl w:val="0"/>
          <w:numId w:val="5"/>
        </w:numPr>
        <w:spacing w:after="58"/>
        <w:jc w:val="both"/>
        <w:rPr>
          <w:rFonts w:ascii="Verdana" w:hAnsi="Verdana"/>
          <w:color w:val="auto"/>
          <w:sz w:val="20"/>
          <w:szCs w:val="20"/>
        </w:rPr>
      </w:pPr>
      <w:r w:rsidRPr="007D2273">
        <w:rPr>
          <w:rFonts w:ascii="Verdana" w:hAnsi="Verdana"/>
          <w:color w:val="auto"/>
          <w:sz w:val="20"/>
          <w:szCs w:val="20"/>
        </w:rPr>
        <w:t xml:space="preserve">The analysis </w:t>
      </w:r>
      <w:r w:rsidR="004E4BA6">
        <w:rPr>
          <w:rFonts w:ascii="Verdana" w:hAnsi="Verdana"/>
          <w:color w:val="auto"/>
          <w:sz w:val="20"/>
          <w:szCs w:val="20"/>
        </w:rPr>
        <w:t>would be</w:t>
      </w:r>
      <w:r w:rsidRPr="007D2273">
        <w:rPr>
          <w:rFonts w:ascii="Verdana" w:hAnsi="Verdana"/>
          <w:color w:val="auto"/>
          <w:sz w:val="20"/>
          <w:szCs w:val="20"/>
        </w:rPr>
        <w:t xml:space="preserve"> action-oriented and serves to draw clear evidence in support of priority actions;</w:t>
      </w:r>
    </w:p>
    <w:p w:rsidR="00F04587" w:rsidRPr="007D2273" w:rsidRDefault="00F04587" w:rsidP="004E4BA6">
      <w:pPr>
        <w:pStyle w:val="Default"/>
        <w:widowControl/>
        <w:numPr>
          <w:ilvl w:val="0"/>
          <w:numId w:val="5"/>
        </w:numPr>
        <w:spacing w:after="58"/>
        <w:jc w:val="both"/>
        <w:rPr>
          <w:rFonts w:ascii="Verdana" w:hAnsi="Verdana"/>
          <w:color w:val="auto"/>
          <w:sz w:val="20"/>
          <w:szCs w:val="20"/>
        </w:rPr>
      </w:pPr>
      <w:r w:rsidRPr="007D2273">
        <w:rPr>
          <w:rFonts w:ascii="Verdana" w:hAnsi="Verdana"/>
          <w:color w:val="auto"/>
          <w:sz w:val="20"/>
          <w:szCs w:val="20"/>
        </w:rPr>
        <w:t xml:space="preserve">The review </w:t>
      </w:r>
      <w:r w:rsidR="004E4BA6">
        <w:rPr>
          <w:rFonts w:ascii="Verdana" w:hAnsi="Verdana"/>
          <w:color w:val="auto"/>
          <w:sz w:val="20"/>
          <w:szCs w:val="20"/>
        </w:rPr>
        <w:t>would draw</w:t>
      </w:r>
      <w:r w:rsidRPr="007D2273">
        <w:rPr>
          <w:rFonts w:ascii="Verdana" w:hAnsi="Verdana"/>
          <w:color w:val="auto"/>
          <w:sz w:val="20"/>
          <w:szCs w:val="20"/>
        </w:rPr>
        <w:t xml:space="preserve"> connections to the other SDGs as appro</w:t>
      </w:r>
      <w:r w:rsidR="00DD08E6" w:rsidRPr="007D2273">
        <w:rPr>
          <w:rFonts w:ascii="Verdana" w:hAnsi="Verdana"/>
          <w:color w:val="auto"/>
          <w:sz w:val="20"/>
          <w:szCs w:val="20"/>
        </w:rPr>
        <w:t>priate for the national context; and</w:t>
      </w:r>
    </w:p>
    <w:p w:rsidR="00F04587" w:rsidRPr="007D2273" w:rsidRDefault="00F04587" w:rsidP="004E4BA6">
      <w:pPr>
        <w:pStyle w:val="Default"/>
        <w:widowControl/>
        <w:numPr>
          <w:ilvl w:val="0"/>
          <w:numId w:val="5"/>
        </w:numPr>
        <w:spacing w:after="58"/>
        <w:jc w:val="both"/>
        <w:rPr>
          <w:rFonts w:ascii="Verdana" w:hAnsi="Verdana"/>
          <w:color w:val="auto"/>
          <w:sz w:val="20"/>
          <w:szCs w:val="20"/>
        </w:rPr>
      </w:pPr>
      <w:r w:rsidRPr="007D2273">
        <w:rPr>
          <w:rFonts w:ascii="Verdana" w:hAnsi="Verdana"/>
          <w:color w:val="auto"/>
          <w:sz w:val="20"/>
          <w:szCs w:val="20"/>
        </w:rPr>
        <w:t xml:space="preserve">The review </w:t>
      </w:r>
      <w:r w:rsidR="004E4BA6">
        <w:rPr>
          <w:rFonts w:ascii="Verdana" w:hAnsi="Verdana"/>
          <w:color w:val="auto"/>
          <w:sz w:val="20"/>
          <w:szCs w:val="20"/>
        </w:rPr>
        <w:t>would look</w:t>
      </w:r>
      <w:r w:rsidRPr="007D2273">
        <w:rPr>
          <w:rFonts w:ascii="Verdana" w:hAnsi="Verdana"/>
          <w:color w:val="auto"/>
          <w:sz w:val="20"/>
          <w:szCs w:val="20"/>
        </w:rPr>
        <w:t xml:space="preserve"> at immediate humanitarian needs as we</w:t>
      </w:r>
      <w:r w:rsidR="004E4BA6">
        <w:rPr>
          <w:rFonts w:ascii="Verdana" w:hAnsi="Verdana"/>
          <w:color w:val="auto"/>
          <w:sz w:val="20"/>
          <w:szCs w:val="20"/>
        </w:rPr>
        <w:t xml:space="preserve">ll as longer-term food security, nutrition and sustainable agriculture. </w:t>
      </w:r>
    </w:p>
    <w:p w:rsidR="00F04587" w:rsidRPr="007D2273" w:rsidRDefault="00F04587">
      <w:pPr>
        <w:pStyle w:val="Default"/>
        <w:widowControl/>
        <w:spacing w:after="58"/>
        <w:ind w:left="720"/>
        <w:jc w:val="both"/>
        <w:rPr>
          <w:rFonts w:ascii="Verdana" w:hAnsi="Verdana"/>
          <w:color w:val="auto"/>
          <w:sz w:val="20"/>
          <w:szCs w:val="20"/>
        </w:rPr>
      </w:pPr>
    </w:p>
    <w:p w:rsidR="00BF050D" w:rsidRPr="007D2273" w:rsidRDefault="00DD08E6" w:rsidP="00DD08E6">
      <w:pPr>
        <w:spacing w:line="240" w:lineRule="auto"/>
        <w:jc w:val="both"/>
        <w:rPr>
          <w:rFonts w:ascii="Verdana" w:hAnsi="Verdana"/>
          <w:b/>
          <w:sz w:val="20"/>
          <w:szCs w:val="20"/>
        </w:rPr>
      </w:pPr>
      <w:r w:rsidRPr="007D2273">
        <w:rPr>
          <w:rFonts w:ascii="Verdana" w:hAnsi="Verdana"/>
          <w:b/>
          <w:sz w:val="20"/>
          <w:szCs w:val="20"/>
        </w:rPr>
        <w:t>Strategic Review Structure</w:t>
      </w:r>
    </w:p>
    <w:p w:rsidR="00BF050D" w:rsidRPr="007D2273" w:rsidRDefault="00BF050D" w:rsidP="00865033">
      <w:pPr>
        <w:spacing w:line="240" w:lineRule="auto"/>
        <w:jc w:val="both"/>
        <w:rPr>
          <w:rFonts w:ascii="Verdana" w:hAnsi="Verdana"/>
          <w:sz w:val="20"/>
          <w:szCs w:val="20"/>
        </w:rPr>
      </w:pPr>
      <w:r w:rsidRPr="007D2273">
        <w:rPr>
          <w:rFonts w:ascii="Verdana" w:hAnsi="Verdana"/>
          <w:sz w:val="20"/>
          <w:szCs w:val="20"/>
        </w:rPr>
        <w:t xml:space="preserve">The Review </w:t>
      </w:r>
      <w:r w:rsidR="00865033">
        <w:rPr>
          <w:rFonts w:ascii="Verdana" w:hAnsi="Verdana"/>
          <w:sz w:val="20"/>
          <w:szCs w:val="20"/>
        </w:rPr>
        <w:t xml:space="preserve">is managed as per the following structure. </w:t>
      </w:r>
    </w:p>
    <w:p w:rsidR="00DD08E6" w:rsidRPr="007D2273" w:rsidRDefault="00A65A4F" w:rsidP="00DD08E6">
      <w:pPr>
        <w:spacing w:line="240" w:lineRule="auto"/>
        <w:jc w:val="both"/>
        <w:rPr>
          <w:rFonts w:ascii="Verdana" w:hAnsi="Verdana"/>
          <w:b/>
          <w:sz w:val="20"/>
          <w:szCs w:val="20"/>
        </w:rPr>
      </w:pPr>
      <w:r>
        <w:rPr>
          <w:rFonts w:ascii="Verdana" w:hAnsi="Verdana"/>
          <w:b/>
          <w:noProof/>
          <w:sz w:val="20"/>
          <w:szCs w:val="20"/>
          <w:lang w:val="en-US"/>
        </w:rPr>
        <w:drawing>
          <wp:inline distT="0" distB="0" distL="0" distR="0">
            <wp:extent cx="5706321" cy="4191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7145" cy="4198950"/>
                    </a:xfrm>
                    <a:prstGeom prst="rect">
                      <a:avLst/>
                    </a:prstGeom>
                    <a:noFill/>
                  </pic:spPr>
                </pic:pic>
              </a:graphicData>
            </a:graphic>
          </wp:inline>
        </w:drawing>
      </w:r>
    </w:p>
    <w:p w:rsidR="00BF050D" w:rsidRPr="007D2273" w:rsidRDefault="00BF050D" w:rsidP="00DD08E6">
      <w:pPr>
        <w:spacing w:line="240" w:lineRule="auto"/>
        <w:jc w:val="both"/>
        <w:rPr>
          <w:rFonts w:ascii="Verdana" w:hAnsi="Verdana"/>
          <w:b/>
          <w:sz w:val="20"/>
          <w:szCs w:val="20"/>
        </w:rPr>
      </w:pPr>
      <w:r w:rsidRPr="007D2273">
        <w:rPr>
          <w:rFonts w:ascii="Verdana" w:hAnsi="Verdana"/>
          <w:b/>
          <w:sz w:val="20"/>
          <w:szCs w:val="20"/>
        </w:rPr>
        <w:t>Methodology</w:t>
      </w:r>
    </w:p>
    <w:p w:rsidR="00F04587" w:rsidRPr="007D2273" w:rsidRDefault="00F04587" w:rsidP="00235845">
      <w:pPr>
        <w:spacing w:line="240" w:lineRule="auto"/>
        <w:jc w:val="both"/>
        <w:rPr>
          <w:rFonts w:ascii="Verdana" w:hAnsi="Verdana"/>
          <w:sz w:val="20"/>
          <w:szCs w:val="20"/>
        </w:rPr>
      </w:pPr>
      <w:r w:rsidRPr="007D2273">
        <w:rPr>
          <w:rFonts w:ascii="Verdana" w:hAnsi="Verdana"/>
          <w:sz w:val="20"/>
          <w:szCs w:val="20"/>
        </w:rPr>
        <w:t>Research will rely on quantitative and qualitative research methods, as well as stakeholder consultations</w:t>
      </w:r>
      <w:r w:rsidR="00811CEA" w:rsidRPr="007D2273">
        <w:rPr>
          <w:rFonts w:ascii="Verdana" w:hAnsi="Verdana"/>
          <w:sz w:val="20"/>
          <w:szCs w:val="20"/>
        </w:rPr>
        <w:t xml:space="preserve">. </w:t>
      </w:r>
      <w:r w:rsidRPr="007D2273">
        <w:rPr>
          <w:rFonts w:ascii="Verdana" w:hAnsi="Verdana"/>
          <w:sz w:val="20"/>
          <w:szCs w:val="20"/>
        </w:rPr>
        <w:t xml:space="preserve">Stakeholder consultations </w:t>
      </w:r>
      <w:r w:rsidR="00811CEA" w:rsidRPr="007D2273">
        <w:rPr>
          <w:rFonts w:ascii="Verdana" w:hAnsi="Verdana"/>
          <w:sz w:val="20"/>
          <w:szCs w:val="20"/>
        </w:rPr>
        <w:t>should include:</w:t>
      </w:r>
      <w:r w:rsidRPr="007D2273">
        <w:rPr>
          <w:rFonts w:ascii="Verdana" w:hAnsi="Verdana" w:cs="Courier New"/>
          <w:sz w:val="20"/>
          <w:szCs w:val="20"/>
        </w:rPr>
        <w:t>Government line ministries</w:t>
      </w:r>
      <w:r w:rsidR="00235845">
        <w:rPr>
          <w:rFonts w:ascii="Verdana" w:hAnsi="Verdana" w:cs="Courier New"/>
          <w:sz w:val="20"/>
          <w:szCs w:val="20"/>
        </w:rPr>
        <w:t>, UN agencies</w:t>
      </w:r>
      <w:r w:rsidR="00DD08E6" w:rsidRPr="007D2273">
        <w:rPr>
          <w:rFonts w:ascii="Verdana" w:hAnsi="Verdana" w:cs="Courier New"/>
          <w:sz w:val="20"/>
          <w:szCs w:val="20"/>
        </w:rPr>
        <w:t>, r</w:t>
      </w:r>
      <w:r w:rsidRPr="007D2273">
        <w:rPr>
          <w:rFonts w:ascii="Verdana" w:hAnsi="Verdana" w:cs="Courier New"/>
          <w:sz w:val="20"/>
          <w:szCs w:val="20"/>
        </w:rPr>
        <w:t>elevant national and international NGOs</w:t>
      </w:r>
      <w:r w:rsidR="00DD08E6" w:rsidRPr="007D2273">
        <w:rPr>
          <w:rFonts w:ascii="Verdana" w:hAnsi="Verdana" w:cs="Courier New"/>
          <w:sz w:val="20"/>
          <w:szCs w:val="20"/>
        </w:rPr>
        <w:t>, a</w:t>
      </w:r>
      <w:r w:rsidRPr="007D2273">
        <w:rPr>
          <w:rFonts w:ascii="Verdana" w:hAnsi="Verdana" w:cs="Courier New"/>
          <w:sz w:val="20"/>
          <w:szCs w:val="20"/>
        </w:rPr>
        <w:t>cademia</w:t>
      </w:r>
      <w:r w:rsidR="00DD08E6" w:rsidRPr="007D2273">
        <w:rPr>
          <w:rFonts w:ascii="Verdana" w:hAnsi="Verdana" w:cs="Courier New"/>
          <w:sz w:val="20"/>
          <w:szCs w:val="20"/>
        </w:rPr>
        <w:t>, private sector, d</w:t>
      </w:r>
      <w:r w:rsidRPr="007D2273">
        <w:rPr>
          <w:rFonts w:ascii="Verdana" w:hAnsi="Verdana" w:cs="Courier New"/>
          <w:sz w:val="20"/>
          <w:szCs w:val="20"/>
        </w:rPr>
        <w:t>onors</w:t>
      </w:r>
      <w:r w:rsidR="00DD08E6" w:rsidRPr="007D2273">
        <w:rPr>
          <w:rFonts w:ascii="Verdana" w:hAnsi="Verdana" w:cs="Courier New"/>
          <w:sz w:val="20"/>
          <w:szCs w:val="20"/>
        </w:rPr>
        <w:t>, f</w:t>
      </w:r>
      <w:r w:rsidRPr="007D2273">
        <w:rPr>
          <w:rFonts w:ascii="Verdana" w:hAnsi="Verdana" w:cs="Courier New"/>
          <w:sz w:val="20"/>
          <w:szCs w:val="20"/>
        </w:rPr>
        <w:t xml:space="preserve">ocus groups with local community representatives such as governorate, municipal and civil society representatives, as well as participants from local Jordanian communities and Syrian refugee communities. </w:t>
      </w:r>
    </w:p>
    <w:p w:rsidR="00F04587" w:rsidRPr="007D2273" w:rsidRDefault="00811CEA" w:rsidP="00DD08E6">
      <w:pPr>
        <w:spacing w:line="240" w:lineRule="auto"/>
        <w:jc w:val="both"/>
        <w:rPr>
          <w:rFonts w:ascii="Verdana" w:hAnsi="Verdana"/>
          <w:b/>
          <w:sz w:val="20"/>
          <w:szCs w:val="20"/>
        </w:rPr>
      </w:pPr>
      <w:r w:rsidRPr="007D2273">
        <w:rPr>
          <w:rFonts w:ascii="Verdana" w:hAnsi="Verdana"/>
          <w:b/>
          <w:sz w:val="20"/>
          <w:szCs w:val="20"/>
        </w:rPr>
        <w:t>T</w:t>
      </w:r>
      <w:r w:rsidR="00F04587" w:rsidRPr="007D2273">
        <w:rPr>
          <w:rFonts w:ascii="Verdana" w:hAnsi="Verdana"/>
          <w:b/>
          <w:sz w:val="20"/>
          <w:szCs w:val="20"/>
        </w:rPr>
        <w:t>imeline</w:t>
      </w:r>
    </w:p>
    <w:p w:rsidR="00AA25AC" w:rsidRPr="007D2273" w:rsidRDefault="008410A4" w:rsidP="00235845">
      <w:pPr>
        <w:spacing w:line="240" w:lineRule="auto"/>
        <w:jc w:val="both"/>
        <w:rPr>
          <w:rFonts w:ascii="Verdana" w:hAnsi="Verdana"/>
          <w:sz w:val="20"/>
          <w:szCs w:val="20"/>
        </w:rPr>
      </w:pPr>
      <w:r w:rsidRPr="007D2273">
        <w:rPr>
          <w:rFonts w:ascii="Verdana" w:hAnsi="Verdana"/>
          <w:sz w:val="20"/>
          <w:szCs w:val="20"/>
        </w:rPr>
        <w:t>The R</w:t>
      </w:r>
      <w:r w:rsidR="00F04587" w:rsidRPr="007D2273">
        <w:rPr>
          <w:rFonts w:ascii="Verdana" w:hAnsi="Verdana"/>
          <w:sz w:val="20"/>
          <w:szCs w:val="20"/>
        </w:rPr>
        <w:t xml:space="preserve">eview will </w:t>
      </w:r>
      <w:r w:rsidR="004E4BA6">
        <w:rPr>
          <w:rFonts w:ascii="Verdana" w:hAnsi="Verdana"/>
          <w:sz w:val="20"/>
          <w:szCs w:val="20"/>
        </w:rPr>
        <w:t>commence following an initial scoping meeting of the augmented Board of the Higher Council for Science and Technology (HCST)</w:t>
      </w:r>
      <w:r w:rsidR="00865033">
        <w:rPr>
          <w:rFonts w:ascii="Verdana" w:hAnsi="Verdana"/>
          <w:sz w:val="20"/>
          <w:szCs w:val="20"/>
        </w:rPr>
        <w:t>in August 2017</w:t>
      </w:r>
      <w:r w:rsidR="004E4BA6">
        <w:rPr>
          <w:rFonts w:ascii="Verdana" w:hAnsi="Verdana"/>
          <w:sz w:val="20"/>
          <w:szCs w:val="20"/>
        </w:rPr>
        <w:t xml:space="preserve">. The scoping </w:t>
      </w:r>
      <w:r w:rsidR="004E4BA6">
        <w:rPr>
          <w:rFonts w:ascii="Verdana" w:hAnsi="Verdana"/>
          <w:sz w:val="20"/>
          <w:szCs w:val="20"/>
        </w:rPr>
        <w:lastRenderedPageBreak/>
        <w:t xml:space="preserve">meeting will give further direction and guidance on the scope, structure and timeline of the Review. </w:t>
      </w:r>
    </w:p>
    <w:sectPr w:rsidR="00AA25AC" w:rsidRPr="007D2273" w:rsidSect="007939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067" w:rsidRDefault="00982067">
      <w:pPr>
        <w:spacing w:after="0" w:line="240" w:lineRule="auto"/>
      </w:pPr>
      <w:r>
        <w:separator/>
      </w:r>
    </w:p>
  </w:endnote>
  <w:endnote w:type="continuationSeparator" w:id="1">
    <w:p w:rsidR="00982067" w:rsidRDefault="00982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901849"/>
      <w:docPartObj>
        <w:docPartGallery w:val="Page Numbers (Bottom of Page)"/>
        <w:docPartUnique/>
      </w:docPartObj>
    </w:sdtPr>
    <w:sdtEndPr>
      <w:rPr>
        <w:noProof/>
      </w:rPr>
    </w:sdtEndPr>
    <w:sdtContent>
      <w:p w:rsidR="00550DDA" w:rsidRDefault="005441A8">
        <w:pPr>
          <w:pStyle w:val="Footer"/>
          <w:jc w:val="right"/>
        </w:pPr>
        <w:r>
          <w:fldChar w:fldCharType="begin"/>
        </w:r>
        <w:r w:rsidR="00F04587">
          <w:instrText xml:space="preserve"> PAGE   \* MERGEFORMAT </w:instrText>
        </w:r>
        <w:r>
          <w:fldChar w:fldCharType="separate"/>
        </w:r>
        <w:r w:rsidR="00D601B0">
          <w:rPr>
            <w:noProof/>
          </w:rPr>
          <w:t>2</w:t>
        </w:r>
        <w:r>
          <w:rPr>
            <w:noProof/>
          </w:rPr>
          <w:fldChar w:fldCharType="end"/>
        </w:r>
      </w:p>
    </w:sdtContent>
  </w:sdt>
  <w:p w:rsidR="00550DDA" w:rsidRDefault="00D60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067" w:rsidRDefault="00982067">
      <w:pPr>
        <w:spacing w:after="0" w:line="240" w:lineRule="auto"/>
      </w:pPr>
      <w:r>
        <w:separator/>
      </w:r>
    </w:p>
  </w:footnote>
  <w:footnote w:type="continuationSeparator" w:id="1">
    <w:p w:rsidR="00982067" w:rsidRDefault="00982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C0" w:rsidRPr="00E0638C" w:rsidRDefault="00F04587" w:rsidP="00226750">
    <w:pPr>
      <w:pStyle w:val="Header"/>
      <w:jc w:val="center"/>
      <w:rPr>
        <w:rFonts w:ascii="Verdana" w:hAnsi="Verdana"/>
        <w:sz w:val="14"/>
        <w:szCs w:val="18"/>
      </w:rPr>
    </w:pPr>
    <w:r w:rsidRPr="00E0638C">
      <w:rPr>
        <w:rFonts w:ascii="Verdana" w:hAnsi="Verdana"/>
        <w:sz w:val="14"/>
        <w:szCs w:val="18"/>
      </w:rPr>
      <w:t>Concept Note</w:t>
    </w:r>
    <w:r w:rsidR="00E0638C" w:rsidRPr="00E0638C">
      <w:rPr>
        <w:rFonts w:ascii="Verdana" w:hAnsi="Verdana"/>
        <w:sz w:val="14"/>
        <w:szCs w:val="18"/>
      </w:rPr>
      <w:t xml:space="preserve"> – 24 July 2017</w:t>
    </w:r>
  </w:p>
  <w:p w:rsidR="00D83CC0" w:rsidRDefault="00E0638C" w:rsidP="00E0638C">
    <w:pPr>
      <w:pStyle w:val="Header"/>
      <w:tabs>
        <w:tab w:val="clear" w:pos="4513"/>
        <w:tab w:val="clear" w:pos="9026"/>
        <w:tab w:val="left" w:pos="36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B46"/>
    <w:multiLevelType w:val="hybridMultilevel"/>
    <w:tmpl w:val="94E6E0B8"/>
    <w:lvl w:ilvl="0" w:tplc="7A2673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91A1C"/>
    <w:multiLevelType w:val="hybridMultilevel"/>
    <w:tmpl w:val="9C7A8A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6BFA"/>
    <w:multiLevelType w:val="hybridMultilevel"/>
    <w:tmpl w:val="6D1AF41A"/>
    <w:lvl w:ilvl="0" w:tplc="D4B4874E">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57158"/>
    <w:multiLevelType w:val="hybridMultilevel"/>
    <w:tmpl w:val="AD44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07C75"/>
    <w:multiLevelType w:val="hybridMultilevel"/>
    <w:tmpl w:val="0464C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F2799"/>
    <w:multiLevelType w:val="hybridMultilevel"/>
    <w:tmpl w:val="AC500262"/>
    <w:lvl w:ilvl="0" w:tplc="D1D0A97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66091"/>
    <w:multiLevelType w:val="hybridMultilevel"/>
    <w:tmpl w:val="E05CC432"/>
    <w:lvl w:ilvl="0" w:tplc="5D9CA694">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80C82"/>
    <w:multiLevelType w:val="hybridMultilevel"/>
    <w:tmpl w:val="D828F7AE"/>
    <w:lvl w:ilvl="0" w:tplc="793EE2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56238"/>
    <w:multiLevelType w:val="hybridMultilevel"/>
    <w:tmpl w:val="B9A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335B8"/>
    <w:multiLevelType w:val="hybridMultilevel"/>
    <w:tmpl w:val="4AD8D02C"/>
    <w:lvl w:ilvl="0" w:tplc="3584756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8"/>
  </w:num>
  <w:num w:numId="6">
    <w:abstractNumId w:val="5"/>
  </w:num>
  <w:num w:numId="7">
    <w:abstractNumId w:val="2"/>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533DC"/>
    <w:rsid w:val="0003221A"/>
    <w:rsid w:val="000B5C3A"/>
    <w:rsid w:val="00102103"/>
    <w:rsid w:val="00162F43"/>
    <w:rsid w:val="00235845"/>
    <w:rsid w:val="003069E3"/>
    <w:rsid w:val="00360598"/>
    <w:rsid w:val="004C392F"/>
    <w:rsid w:val="004E4BA6"/>
    <w:rsid w:val="005441A8"/>
    <w:rsid w:val="00551295"/>
    <w:rsid w:val="005A2F17"/>
    <w:rsid w:val="007B778A"/>
    <w:rsid w:val="007D2273"/>
    <w:rsid w:val="00811CEA"/>
    <w:rsid w:val="008410A4"/>
    <w:rsid w:val="00865033"/>
    <w:rsid w:val="00982067"/>
    <w:rsid w:val="009C57B5"/>
    <w:rsid w:val="00A024CB"/>
    <w:rsid w:val="00A65A4F"/>
    <w:rsid w:val="00BD0E16"/>
    <w:rsid w:val="00BF050D"/>
    <w:rsid w:val="00C533DC"/>
    <w:rsid w:val="00D601B0"/>
    <w:rsid w:val="00DD08E6"/>
    <w:rsid w:val="00E0638C"/>
    <w:rsid w:val="00F04587"/>
    <w:rsid w:val="00F36AF4"/>
    <w:rsid w:val="00F551A9"/>
    <w:rsid w:val="00FA5BE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587"/>
  </w:style>
  <w:style w:type="paragraph" w:styleId="Footer">
    <w:name w:val="footer"/>
    <w:basedOn w:val="Normal"/>
    <w:link w:val="FooterChar"/>
    <w:uiPriority w:val="99"/>
    <w:unhideWhenUsed/>
    <w:rsid w:val="00F04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587"/>
  </w:style>
  <w:style w:type="paragraph" w:styleId="PlainText">
    <w:name w:val="Plain Text"/>
    <w:basedOn w:val="Normal"/>
    <w:link w:val="PlainTextChar"/>
    <w:uiPriority w:val="99"/>
    <w:unhideWhenUsed/>
    <w:rsid w:val="00F045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04587"/>
    <w:rPr>
      <w:rFonts w:ascii="Consolas" w:hAnsi="Consolas" w:cs="Consolas"/>
      <w:sz w:val="21"/>
      <w:szCs w:val="21"/>
    </w:rPr>
  </w:style>
  <w:style w:type="paragraph" w:styleId="NoSpacing">
    <w:name w:val="No Spacing"/>
    <w:uiPriority w:val="1"/>
    <w:qFormat/>
    <w:rsid w:val="00F04587"/>
    <w:pPr>
      <w:spacing w:after="0" w:line="240" w:lineRule="auto"/>
    </w:pPr>
  </w:style>
  <w:style w:type="paragraph" w:styleId="ListParagraph">
    <w:name w:val="List Paragraph"/>
    <w:basedOn w:val="Normal"/>
    <w:link w:val="ListParagraphChar"/>
    <w:uiPriority w:val="34"/>
    <w:qFormat/>
    <w:rsid w:val="00F04587"/>
    <w:pPr>
      <w:ind w:left="720"/>
      <w:contextualSpacing/>
    </w:pPr>
  </w:style>
  <w:style w:type="table" w:styleId="TableGrid">
    <w:name w:val="Table Grid"/>
    <w:basedOn w:val="TableNormal"/>
    <w:uiPriority w:val="59"/>
    <w:rsid w:val="00F04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F04587"/>
  </w:style>
  <w:style w:type="paragraph" w:customStyle="1" w:styleId="Default">
    <w:name w:val="Default"/>
    <w:rsid w:val="00F04587"/>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IntenseQuote">
    <w:name w:val="Intense Quote"/>
    <w:basedOn w:val="Normal"/>
    <w:next w:val="Normal"/>
    <w:link w:val="IntenseQuoteChar"/>
    <w:uiPriority w:val="30"/>
    <w:qFormat/>
    <w:rsid w:val="00F045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4587"/>
    <w:rPr>
      <w:i/>
      <w:iCs/>
      <w:color w:val="5B9BD5" w:themeColor="accent1"/>
    </w:rPr>
  </w:style>
  <w:style w:type="paragraph" w:styleId="BalloonText">
    <w:name w:val="Balloon Text"/>
    <w:basedOn w:val="Normal"/>
    <w:link w:val="BalloonTextChar"/>
    <w:uiPriority w:val="99"/>
    <w:semiHidden/>
    <w:unhideWhenUsed/>
    <w:rsid w:val="0081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EA"/>
    <w:rPr>
      <w:rFonts w:ascii="Segoe UI" w:hAnsi="Segoe UI" w:cs="Segoe UI"/>
      <w:sz w:val="18"/>
      <w:szCs w:val="18"/>
    </w:rPr>
  </w:style>
  <w:style w:type="character" w:styleId="CommentReference">
    <w:name w:val="annotation reference"/>
    <w:basedOn w:val="DefaultParagraphFont"/>
    <w:uiPriority w:val="99"/>
    <w:semiHidden/>
    <w:unhideWhenUsed/>
    <w:rsid w:val="00811CEA"/>
    <w:rPr>
      <w:sz w:val="16"/>
      <w:szCs w:val="16"/>
    </w:rPr>
  </w:style>
  <w:style w:type="paragraph" w:styleId="CommentText">
    <w:name w:val="annotation text"/>
    <w:basedOn w:val="Normal"/>
    <w:link w:val="CommentTextChar"/>
    <w:uiPriority w:val="99"/>
    <w:semiHidden/>
    <w:unhideWhenUsed/>
    <w:rsid w:val="00811CEA"/>
    <w:pPr>
      <w:spacing w:line="240" w:lineRule="auto"/>
    </w:pPr>
    <w:rPr>
      <w:sz w:val="20"/>
      <w:szCs w:val="20"/>
    </w:rPr>
  </w:style>
  <w:style w:type="character" w:customStyle="1" w:styleId="CommentTextChar">
    <w:name w:val="Comment Text Char"/>
    <w:basedOn w:val="DefaultParagraphFont"/>
    <w:link w:val="CommentText"/>
    <w:uiPriority w:val="99"/>
    <w:semiHidden/>
    <w:rsid w:val="00811CEA"/>
    <w:rPr>
      <w:sz w:val="20"/>
      <w:szCs w:val="20"/>
    </w:rPr>
  </w:style>
  <w:style w:type="paragraph" w:styleId="CommentSubject">
    <w:name w:val="annotation subject"/>
    <w:basedOn w:val="CommentText"/>
    <w:next w:val="CommentText"/>
    <w:link w:val="CommentSubjectChar"/>
    <w:uiPriority w:val="99"/>
    <w:semiHidden/>
    <w:unhideWhenUsed/>
    <w:rsid w:val="00811CEA"/>
    <w:rPr>
      <w:b/>
      <w:bCs/>
    </w:rPr>
  </w:style>
  <w:style w:type="character" w:customStyle="1" w:styleId="CommentSubjectChar">
    <w:name w:val="Comment Subject Char"/>
    <w:basedOn w:val="CommentTextChar"/>
    <w:link w:val="CommentSubject"/>
    <w:uiPriority w:val="99"/>
    <w:semiHidden/>
    <w:rsid w:val="00811CEA"/>
    <w:rPr>
      <w:b/>
      <w:bCs/>
      <w:sz w:val="20"/>
      <w:szCs w:val="20"/>
    </w:rPr>
  </w:style>
  <w:style w:type="character" w:styleId="Hyperlink">
    <w:name w:val="Hyperlink"/>
    <w:basedOn w:val="DefaultParagraphFont"/>
    <w:uiPriority w:val="99"/>
    <w:semiHidden/>
    <w:unhideWhenUsed/>
    <w:rsid w:val="00E0638C"/>
    <w:rPr>
      <w:color w:val="0563C1"/>
      <w:u w:val="single"/>
    </w:rPr>
  </w:style>
  <w:style w:type="character" w:styleId="FollowedHyperlink">
    <w:name w:val="FollowedHyperlink"/>
    <w:basedOn w:val="DefaultParagraphFont"/>
    <w:uiPriority w:val="99"/>
    <w:semiHidden/>
    <w:unhideWhenUsed/>
    <w:rsid w:val="007D22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587"/>
  </w:style>
  <w:style w:type="paragraph" w:styleId="Footer">
    <w:name w:val="footer"/>
    <w:basedOn w:val="Normal"/>
    <w:link w:val="FooterChar"/>
    <w:uiPriority w:val="99"/>
    <w:unhideWhenUsed/>
    <w:rsid w:val="00F04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587"/>
  </w:style>
  <w:style w:type="paragraph" w:styleId="PlainText">
    <w:name w:val="Plain Text"/>
    <w:basedOn w:val="Normal"/>
    <w:link w:val="PlainTextChar"/>
    <w:uiPriority w:val="99"/>
    <w:unhideWhenUsed/>
    <w:rsid w:val="00F045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04587"/>
    <w:rPr>
      <w:rFonts w:ascii="Consolas" w:hAnsi="Consolas" w:cs="Consolas"/>
      <w:sz w:val="21"/>
      <w:szCs w:val="21"/>
    </w:rPr>
  </w:style>
  <w:style w:type="paragraph" w:styleId="NoSpacing">
    <w:name w:val="No Spacing"/>
    <w:uiPriority w:val="1"/>
    <w:qFormat/>
    <w:rsid w:val="00F04587"/>
    <w:pPr>
      <w:spacing w:after="0" w:line="240" w:lineRule="auto"/>
    </w:pPr>
  </w:style>
  <w:style w:type="paragraph" w:styleId="ListParagraph">
    <w:name w:val="List Paragraph"/>
    <w:basedOn w:val="Normal"/>
    <w:link w:val="ListParagraphChar"/>
    <w:uiPriority w:val="34"/>
    <w:qFormat/>
    <w:rsid w:val="00F04587"/>
    <w:pPr>
      <w:ind w:left="720"/>
      <w:contextualSpacing/>
    </w:pPr>
  </w:style>
  <w:style w:type="table" w:styleId="TableGrid">
    <w:name w:val="Table Grid"/>
    <w:basedOn w:val="TableNormal"/>
    <w:uiPriority w:val="59"/>
    <w:rsid w:val="00F04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F04587"/>
  </w:style>
  <w:style w:type="paragraph" w:customStyle="1" w:styleId="Default">
    <w:name w:val="Default"/>
    <w:rsid w:val="00F04587"/>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IntenseQuote">
    <w:name w:val="Intense Quote"/>
    <w:basedOn w:val="Normal"/>
    <w:next w:val="Normal"/>
    <w:link w:val="IntenseQuoteChar"/>
    <w:uiPriority w:val="30"/>
    <w:qFormat/>
    <w:rsid w:val="00F045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4587"/>
    <w:rPr>
      <w:i/>
      <w:iCs/>
      <w:color w:val="5B9BD5" w:themeColor="accent1"/>
    </w:rPr>
  </w:style>
  <w:style w:type="paragraph" w:styleId="BalloonText">
    <w:name w:val="Balloon Text"/>
    <w:basedOn w:val="Normal"/>
    <w:link w:val="BalloonTextChar"/>
    <w:uiPriority w:val="99"/>
    <w:semiHidden/>
    <w:unhideWhenUsed/>
    <w:rsid w:val="0081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EA"/>
    <w:rPr>
      <w:rFonts w:ascii="Segoe UI" w:hAnsi="Segoe UI" w:cs="Segoe UI"/>
      <w:sz w:val="18"/>
      <w:szCs w:val="18"/>
    </w:rPr>
  </w:style>
  <w:style w:type="character" w:styleId="CommentReference">
    <w:name w:val="annotation reference"/>
    <w:basedOn w:val="DefaultParagraphFont"/>
    <w:uiPriority w:val="99"/>
    <w:semiHidden/>
    <w:unhideWhenUsed/>
    <w:rsid w:val="00811CEA"/>
    <w:rPr>
      <w:sz w:val="16"/>
      <w:szCs w:val="16"/>
    </w:rPr>
  </w:style>
  <w:style w:type="paragraph" w:styleId="CommentText">
    <w:name w:val="annotation text"/>
    <w:basedOn w:val="Normal"/>
    <w:link w:val="CommentTextChar"/>
    <w:uiPriority w:val="99"/>
    <w:semiHidden/>
    <w:unhideWhenUsed/>
    <w:rsid w:val="00811CEA"/>
    <w:pPr>
      <w:spacing w:line="240" w:lineRule="auto"/>
    </w:pPr>
    <w:rPr>
      <w:sz w:val="20"/>
      <w:szCs w:val="20"/>
    </w:rPr>
  </w:style>
  <w:style w:type="character" w:customStyle="1" w:styleId="CommentTextChar">
    <w:name w:val="Comment Text Char"/>
    <w:basedOn w:val="DefaultParagraphFont"/>
    <w:link w:val="CommentText"/>
    <w:uiPriority w:val="99"/>
    <w:semiHidden/>
    <w:rsid w:val="00811CEA"/>
    <w:rPr>
      <w:sz w:val="20"/>
      <w:szCs w:val="20"/>
    </w:rPr>
  </w:style>
  <w:style w:type="paragraph" w:styleId="CommentSubject">
    <w:name w:val="annotation subject"/>
    <w:basedOn w:val="CommentText"/>
    <w:next w:val="CommentText"/>
    <w:link w:val="CommentSubjectChar"/>
    <w:uiPriority w:val="99"/>
    <w:semiHidden/>
    <w:unhideWhenUsed/>
    <w:rsid w:val="00811CEA"/>
    <w:rPr>
      <w:b/>
      <w:bCs/>
    </w:rPr>
  </w:style>
  <w:style w:type="character" w:customStyle="1" w:styleId="CommentSubjectChar">
    <w:name w:val="Comment Subject Char"/>
    <w:basedOn w:val="CommentTextChar"/>
    <w:link w:val="CommentSubject"/>
    <w:uiPriority w:val="99"/>
    <w:semiHidden/>
    <w:rsid w:val="00811CEA"/>
    <w:rPr>
      <w:b/>
      <w:bCs/>
      <w:sz w:val="20"/>
      <w:szCs w:val="20"/>
    </w:rPr>
  </w:style>
  <w:style w:type="character" w:styleId="Hyperlink">
    <w:name w:val="Hyperlink"/>
    <w:basedOn w:val="DefaultParagraphFont"/>
    <w:uiPriority w:val="99"/>
    <w:semiHidden/>
    <w:unhideWhenUsed/>
    <w:rsid w:val="00E0638C"/>
    <w:rPr>
      <w:color w:val="0563C1"/>
      <w:u w:val="single"/>
    </w:rPr>
  </w:style>
  <w:style w:type="character" w:styleId="FollowedHyperlink">
    <w:name w:val="FollowedHyperlink"/>
    <w:basedOn w:val="DefaultParagraphFont"/>
    <w:uiPriority w:val="99"/>
    <w:semiHidden/>
    <w:unhideWhenUsed/>
    <w:rsid w:val="007D227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MARJI Mohamad</dc:creator>
  <cp:lastModifiedBy>safaa</cp:lastModifiedBy>
  <cp:revision>2</cp:revision>
  <cp:lastPrinted>2017-07-26T10:00:00Z</cp:lastPrinted>
  <dcterms:created xsi:type="dcterms:W3CDTF">2018-04-17T07:35:00Z</dcterms:created>
  <dcterms:modified xsi:type="dcterms:W3CDTF">2018-04-17T07:35:00Z</dcterms:modified>
</cp:coreProperties>
</file>